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8"/>
        <w:tblW w:w="9330" w:type="dxa"/>
        <w:tblCellMar>
          <w:left w:w="10" w:type="dxa"/>
          <w:right w:w="10" w:type="dxa"/>
        </w:tblCellMar>
        <w:tblLook w:val="0000" w:firstRow="0" w:lastRow="0" w:firstColumn="0" w:lastColumn="0" w:noHBand="0" w:noVBand="0"/>
      </w:tblPr>
      <w:tblGrid>
        <w:gridCol w:w="6163"/>
        <w:gridCol w:w="3167"/>
      </w:tblGrid>
      <w:tr w:rsidR="003F52C4" w:rsidRPr="003F52C4" w14:paraId="0EFE7F66" w14:textId="77777777" w:rsidTr="00A74E98">
        <w:trPr>
          <w:trHeight w:val="160"/>
        </w:trPr>
        <w:tc>
          <w:tcPr>
            <w:tcW w:w="6163" w:type="dxa"/>
            <w:tcMar>
              <w:top w:w="0" w:type="dxa"/>
              <w:left w:w="108" w:type="dxa"/>
              <w:bottom w:w="0" w:type="dxa"/>
              <w:right w:w="108" w:type="dxa"/>
            </w:tcMar>
            <w:vAlign w:val="center"/>
          </w:tcPr>
          <w:p w14:paraId="56D8B7B2" w14:textId="77777777" w:rsidR="003F52C4" w:rsidRPr="003F52C4" w:rsidRDefault="003F52C4" w:rsidP="003F52C4">
            <w:pPr>
              <w:suppressAutoHyphens/>
              <w:autoSpaceDN w:val="0"/>
              <w:spacing w:after="0" w:line="560" w:lineRule="exact"/>
              <w:rPr>
                <w:rFonts w:ascii="Constantia" w:eastAsia="Times New Roman" w:hAnsi="Constantia" w:cs="Times New Roman"/>
                <w:b/>
                <w:bCs/>
                <w:sz w:val="40"/>
                <w:szCs w:val="40"/>
                <w:lang w:val="en-US"/>
              </w:rPr>
            </w:pPr>
            <w:r w:rsidRPr="003F52C4">
              <w:rPr>
                <w:rFonts w:ascii="Constantia" w:eastAsia="Times New Roman" w:hAnsi="Constantia" w:cs="Times New Roman"/>
                <w:b/>
                <w:bCs/>
                <w:sz w:val="40"/>
                <w:szCs w:val="40"/>
                <w:lang w:val="en-US"/>
              </w:rPr>
              <w:t xml:space="preserve">General Insurance Pricing Practice (GIPP) Fair Value Form </w:t>
            </w:r>
          </w:p>
        </w:tc>
        <w:tc>
          <w:tcPr>
            <w:tcW w:w="3167" w:type="dxa"/>
            <w:tcMar>
              <w:top w:w="0" w:type="dxa"/>
              <w:left w:w="108" w:type="dxa"/>
              <w:bottom w:w="0" w:type="dxa"/>
              <w:right w:w="108" w:type="dxa"/>
            </w:tcMar>
            <w:vAlign w:val="center"/>
          </w:tcPr>
          <w:p w14:paraId="530C03E6" w14:textId="5CEADFA6" w:rsidR="003F52C4" w:rsidRPr="003F52C4" w:rsidRDefault="003F52C4" w:rsidP="003F52C4">
            <w:pPr>
              <w:suppressAutoHyphens/>
              <w:autoSpaceDN w:val="0"/>
              <w:spacing w:after="0" w:line="251" w:lineRule="auto"/>
              <w:jc w:val="right"/>
              <w:rPr>
                <w:rFonts w:ascii="Franklin Gothic Book" w:eastAsia="Times New Roman" w:hAnsi="Franklin Gothic Book" w:cs="Times New Roman"/>
                <w:lang w:val="en-US"/>
              </w:rPr>
            </w:pPr>
            <w:r w:rsidRPr="003F52C4">
              <w:rPr>
                <w:rFonts w:ascii="Franklin Gothic Book" w:eastAsia="Times New Roman" w:hAnsi="Franklin Gothic Book" w:cs="Times New Roman"/>
                <w:noProof/>
                <w:lang w:val="en-US"/>
              </w:rPr>
              <w:drawing>
                <wp:anchor distT="0" distB="0" distL="114300" distR="114300" simplePos="0" relativeHeight="251659264" behindDoc="1" locked="0" layoutInCell="1" allowOverlap="1" wp14:anchorId="720C2447" wp14:editId="3C3F213C">
                  <wp:simplePos x="0" y="0"/>
                  <wp:positionH relativeFrom="margin">
                    <wp:align>right</wp:align>
                  </wp:positionH>
                  <wp:positionV relativeFrom="paragraph">
                    <wp:posOffset>-1307465</wp:posOffset>
                  </wp:positionV>
                  <wp:extent cx="1838325" cy="878205"/>
                  <wp:effectExtent l="0" t="0" r="9525" b="0"/>
                  <wp:wrapTight wrapText="bothSides">
                    <wp:wrapPolygon edited="0">
                      <wp:start x="0" y="0"/>
                      <wp:lineTo x="0" y="21085"/>
                      <wp:lineTo x="21488" y="21085"/>
                      <wp:lineTo x="21488" y="0"/>
                      <wp:lineTo x="0" y="0"/>
                    </wp:wrapPolygon>
                  </wp:wrapTight>
                  <wp:docPr id="1" name="Picture 1"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D502C8" w14:textId="77777777" w:rsidR="003F52C4" w:rsidRPr="003F52C4" w:rsidRDefault="003F52C4" w:rsidP="003F52C4">
      <w:pPr>
        <w:keepNext/>
        <w:keepLines/>
        <w:suppressAutoHyphens/>
        <w:autoSpaceDN w:val="0"/>
        <w:spacing w:before="240" w:after="0" w:line="251" w:lineRule="auto"/>
        <w:outlineLvl w:val="0"/>
        <w:rPr>
          <w:rFonts w:ascii="Calibri" w:eastAsia="Times New Roman" w:hAnsi="Calibri" w:cs="Calibri"/>
          <w:b/>
          <w:color w:val="1F497D"/>
          <w:sz w:val="24"/>
          <w:szCs w:val="24"/>
          <w:lang w:val="en-US"/>
        </w:rPr>
      </w:pPr>
      <w:r w:rsidRPr="003F52C4">
        <w:rPr>
          <w:rFonts w:ascii="Calibri" w:eastAsia="Times New Roman" w:hAnsi="Calibri" w:cs="Calibri"/>
          <w:b/>
          <w:color w:val="1F497D"/>
          <w:sz w:val="24"/>
          <w:szCs w:val="24"/>
          <w:lang w:val="en-US"/>
        </w:rPr>
        <w:t>Instructions</w:t>
      </w:r>
    </w:p>
    <w:p w14:paraId="29D8B987" w14:textId="77777777" w:rsidR="003F52C4" w:rsidRPr="003F52C4" w:rsidRDefault="003F52C4" w:rsidP="003F52C4">
      <w:pPr>
        <w:suppressAutoHyphens/>
        <w:autoSpaceDN w:val="0"/>
        <w:spacing w:line="251" w:lineRule="auto"/>
        <w:rPr>
          <w:rFonts w:ascii="Calibri" w:eastAsia="Times New Roman" w:hAnsi="Calibri" w:cs="Calibri"/>
          <w:sz w:val="18"/>
          <w:szCs w:val="18"/>
          <w:lang w:val="en-US"/>
        </w:rPr>
      </w:pPr>
      <w:r w:rsidRPr="003F52C4">
        <w:rPr>
          <w:rFonts w:ascii="Calibri" w:eastAsia="Times New Roman" w:hAnsi="Calibri" w:cs="Calibri"/>
          <w:sz w:val="18"/>
          <w:szCs w:val="18"/>
          <w:lang w:val="en-US"/>
        </w:rPr>
        <w:t xml:space="preserve">Rules on General Insurance Pricing Practices (GIPP) became effective on 1st October 2021 and 1st January 2022, as set out by The Financial Conduct Authority (FCA). </w:t>
      </w:r>
    </w:p>
    <w:p w14:paraId="7A524815" w14:textId="77777777" w:rsidR="003F52C4" w:rsidRPr="003F52C4" w:rsidRDefault="003F52C4" w:rsidP="003F52C4">
      <w:pPr>
        <w:suppressAutoHyphens/>
        <w:autoSpaceDN w:val="0"/>
        <w:spacing w:line="251" w:lineRule="auto"/>
        <w:rPr>
          <w:rFonts w:ascii="Calibri" w:eastAsia="Times New Roman" w:hAnsi="Calibri" w:cs="Calibri"/>
          <w:sz w:val="18"/>
          <w:szCs w:val="18"/>
          <w:lang w:val="en-US"/>
        </w:rPr>
      </w:pPr>
      <w:r w:rsidRPr="003F52C4">
        <w:rPr>
          <w:rFonts w:ascii="Calibri" w:eastAsia="Times New Roman" w:hAnsi="Calibri" w:cs="Calibri"/>
          <w:sz w:val="18"/>
          <w:szCs w:val="18"/>
          <w:lang w:val="en-US"/>
        </w:rPr>
        <w:t xml:space="preserve">Aro Underwriting Group compile and review information of fees and charges made by brokers on our products (Including Willow, Aro Plus and Aro Ten) on a regular basis to ensure oversight of the distribution chain. </w:t>
      </w:r>
    </w:p>
    <w:p w14:paraId="41A437E1" w14:textId="77777777" w:rsidR="003F52C4" w:rsidRPr="003F52C4" w:rsidRDefault="003F52C4" w:rsidP="003F52C4">
      <w:pPr>
        <w:suppressAutoHyphens/>
        <w:autoSpaceDN w:val="0"/>
        <w:spacing w:line="251" w:lineRule="auto"/>
        <w:rPr>
          <w:rFonts w:ascii="Calibri" w:eastAsia="Times New Roman" w:hAnsi="Calibri" w:cs="Calibri"/>
          <w:sz w:val="18"/>
          <w:szCs w:val="18"/>
          <w:lang w:val="en-US"/>
        </w:rPr>
      </w:pPr>
      <w:r w:rsidRPr="003F52C4">
        <w:rPr>
          <w:rFonts w:ascii="Calibri" w:eastAsia="Times New Roman" w:hAnsi="Calibri" w:cs="Calibri"/>
          <w:sz w:val="18"/>
          <w:szCs w:val="18"/>
          <w:lang w:val="en-US"/>
        </w:rPr>
        <w:t>We therefore require support from all brokers in providing us with information on fees and other costs that are associated on our products.</w:t>
      </w:r>
    </w:p>
    <w:p w14:paraId="54007C18" w14:textId="77777777" w:rsidR="003F52C4" w:rsidRPr="003F52C4" w:rsidRDefault="003F52C4" w:rsidP="003F52C4">
      <w:pPr>
        <w:suppressAutoHyphens/>
        <w:autoSpaceDN w:val="0"/>
        <w:spacing w:line="251" w:lineRule="auto"/>
        <w:rPr>
          <w:rFonts w:ascii="Franklin Gothic Book" w:eastAsia="Times New Roman" w:hAnsi="Franklin Gothic Book" w:cs="Times New Roman"/>
          <w:lang w:val="en-US"/>
        </w:rPr>
      </w:pPr>
      <w:r w:rsidRPr="003F52C4">
        <w:rPr>
          <w:rFonts w:ascii="Calibri" w:eastAsia="Times New Roman" w:hAnsi="Calibri" w:cs="Calibri"/>
          <w:sz w:val="18"/>
          <w:szCs w:val="18"/>
          <w:lang w:val="en-US"/>
        </w:rPr>
        <w:t xml:space="preserve">Please provide fee information below and return to us via email to </w:t>
      </w:r>
      <w:hyperlink r:id="rId5" w:history="1">
        <w:r w:rsidRPr="003F52C4">
          <w:rPr>
            <w:rFonts w:ascii="Calibri" w:eastAsia="Times New Roman" w:hAnsi="Calibri" w:cs="Calibri"/>
            <w:color w:val="0096D2"/>
            <w:sz w:val="18"/>
            <w:szCs w:val="18"/>
            <w:u w:val="single"/>
            <w:lang w:val="en-US"/>
          </w:rPr>
          <w:t>enquiries@aro-underwriting.co.uk</w:t>
        </w:r>
      </w:hyperlink>
      <w:r w:rsidRPr="003F52C4">
        <w:rPr>
          <w:rFonts w:ascii="Calibri" w:eastAsia="Times New Roman" w:hAnsi="Calibri" w:cs="Calibri"/>
          <w:sz w:val="18"/>
          <w:szCs w:val="18"/>
          <w:lang w:val="en-US"/>
        </w:rPr>
        <w:t xml:space="preserve"> </w:t>
      </w:r>
    </w:p>
    <w:p w14:paraId="31A577E4" w14:textId="77777777" w:rsidR="003F52C4" w:rsidRPr="003F52C4" w:rsidRDefault="003F52C4" w:rsidP="003F52C4">
      <w:pPr>
        <w:keepNext/>
        <w:keepLines/>
        <w:suppressAutoHyphens/>
        <w:autoSpaceDN w:val="0"/>
        <w:spacing w:before="240" w:after="0" w:line="251" w:lineRule="auto"/>
        <w:outlineLvl w:val="0"/>
        <w:rPr>
          <w:rFonts w:ascii="Calibri" w:eastAsia="Times New Roman" w:hAnsi="Calibri" w:cs="Calibri"/>
          <w:b/>
          <w:color w:val="1F497D"/>
          <w:sz w:val="24"/>
          <w:szCs w:val="24"/>
          <w:lang w:val="en-US"/>
        </w:rPr>
      </w:pPr>
      <w:r w:rsidRPr="003F52C4">
        <w:rPr>
          <w:rFonts w:ascii="Calibri" w:eastAsia="Times New Roman" w:hAnsi="Calibri" w:cs="Calibri"/>
          <w:b/>
          <w:color w:val="1F497D"/>
          <w:sz w:val="24"/>
          <w:szCs w:val="24"/>
          <w:lang w:val="en-US"/>
        </w:rPr>
        <w:t>Company Information</w:t>
      </w:r>
    </w:p>
    <w:tbl>
      <w:tblPr>
        <w:tblpPr w:leftFromText="180" w:rightFromText="180" w:vertAnchor="text" w:tblpY="1"/>
        <w:tblOverlap w:val="never"/>
        <w:tblW w:w="9016" w:type="dxa"/>
        <w:tblCellMar>
          <w:left w:w="10" w:type="dxa"/>
          <w:right w:w="10" w:type="dxa"/>
        </w:tblCellMar>
        <w:tblLook w:val="0000" w:firstRow="0" w:lastRow="0" w:firstColumn="0" w:lastColumn="0" w:noHBand="0" w:noVBand="0"/>
      </w:tblPr>
      <w:tblGrid>
        <w:gridCol w:w="3814"/>
        <w:gridCol w:w="1418"/>
        <w:gridCol w:w="8"/>
        <w:gridCol w:w="1224"/>
        <w:gridCol w:w="48"/>
        <w:gridCol w:w="14"/>
        <w:gridCol w:w="1254"/>
        <w:gridCol w:w="8"/>
        <w:gridCol w:w="1228"/>
      </w:tblGrid>
      <w:tr w:rsidR="003F52C4" w:rsidRPr="003F52C4" w14:paraId="606AADE1"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3F53122" w14:textId="77777777" w:rsidR="003F52C4" w:rsidRPr="003F52C4" w:rsidRDefault="003F52C4" w:rsidP="003F52C4">
            <w:pPr>
              <w:suppressAutoHyphens/>
              <w:autoSpaceDN w:val="0"/>
              <w:spacing w:after="0" w:line="240" w:lineRule="auto"/>
              <w:jc w:val="center"/>
              <w:rPr>
                <w:rFonts w:ascii="Calibri" w:eastAsia="Times New Roman" w:hAnsi="Calibri" w:cs="Calibri"/>
                <w:b/>
                <w:bCs/>
                <w:sz w:val="18"/>
                <w:szCs w:val="18"/>
              </w:rPr>
            </w:pPr>
            <w:r w:rsidRPr="003F52C4">
              <w:rPr>
                <w:rFonts w:ascii="Calibri" w:eastAsia="Times New Roman" w:hAnsi="Calibri" w:cs="Calibri"/>
                <w:b/>
                <w:bCs/>
                <w:sz w:val="18"/>
                <w:szCs w:val="18"/>
              </w:rPr>
              <w:t>Distributor Information</w:t>
            </w:r>
          </w:p>
        </w:tc>
      </w:tr>
      <w:tr w:rsidR="003F52C4" w:rsidRPr="003F52C4" w14:paraId="71D14A9A" w14:textId="77777777" w:rsidTr="00A74E98">
        <w:tc>
          <w:tcPr>
            <w:tcW w:w="901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D8A58"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Please complete all applicable fields below. The information provided should include the type and amount of remuneration (including fees and commissions) of each party in the distribution chain, whether this is part of the premium or otherwise paid by the customer, for the product. If there is more than one party in the distribution chain (Other than Aro and the insurers for whom Aro act on behalf of) please indicate this in the questions below</w:t>
            </w:r>
          </w:p>
        </w:tc>
      </w:tr>
      <w:tr w:rsidR="003F52C4" w:rsidRPr="003F52C4" w14:paraId="65EA8647"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27E0DF"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Explanation of activities provided: (Select all that apply)</w:t>
            </w:r>
          </w:p>
        </w:tc>
      </w:tr>
      <w:tr w:rsidR="003F52C4" w:rsidRPr="003F52C4" w14:paraId="7A9AF133"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E45A1"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Direct</w:t>
            </w:r>
            <w:r w:rsidRPr="003F52C4">
              <w:rPr>
                <w:rFonts w:ascii="Calibri" w:eastAsia="Times New Roman" w:hAnsi="Calibri" w:cs="Calibri"/>
                <w:sz w:val="18"/>
                <w:szCs w:val="18"/>
              </w:rPr>
              <w:t xml:space="preserve"> - The product is distributed directly to insureds. The broker’s role is to understand the demands and needs of the insured and then obtain quotations from insurers.</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22AA6"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7D2A52B7"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3BFF"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Wholesale</w:t>
            </w:r>
            <w:r w:rsidRPr="003F52C4">
              <w:rPr>
                <w:rFonts w:ascii="Calibri" w:eastAsia="Times New Roman" w:hAnsi="Calibri" w:cs="Calibri"/>
                <w:sz w:val="18"/>
                <w:szCs w:val="18"/>
              </w:rPr>
              <w:t xml:space="preserve"> - The broker works on the producing brokers/Appointed Representative instructions paying due regard to the best interests of the end client.</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E72E2"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37C6D4F6"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382E"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Advised</w:t>
            </w:r>
            <w:r w:rsidRPr="003F52C4">
              <w:rPr>
                <w:rFonts w:ascii="Calibri" w:eastAsia="Times New Roman" w:hAnsi="Calibri" w:cs="Calibri"/>
                <w:sz w:val="18"/>
                <w:szCs w:val="18"/>
              </w:rPr>
              <w:t xml:space="preserve"> - the product is sold on an advised basis</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C26BC"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63EB2A83"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4B2F6"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Non-Advised</w:t>
            </w:r>
            <w:r w:rsidRPr="003F52C4">
              <w:rPr>
                <w:rFonts w:ascii="Calibri" w:eastAsia="Times New Roman" w:hAnsi="Calibri" w:cs="Calibri"/>
                <w:sz w:val="18"/>
                <w:szCs w:val="18"/>
              </w:rPr>
              <w:t xml:space="preserve"> - the product is sold on a non-advised basis</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28027"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0EAD715E"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AD555"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Claims</w:t>
            </w:r>
            <w:r w:rsidRPr="003F52C4">
              <w:rPr>
                <w:rFonts w:ascii="Calibri" w:eastAsia="Times New Roman" w:hAnsi="Calibri" w:cs="Calibri"/>
                <w:sz w:val="18"/>
                <w:szCs w:val="18"/>
              </w:rPr>
              <w:t xml:space="preserve"> - the broker provides claims first notification of loss</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6ED61"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055B7B00" w14:textId="77777777" w:rsidTr="002A3446">
        <w:trPr>
          <w:trHeight w:val="252"/>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2CF6F" w14:textId="77777777" w:rsidR="003F52C4" w:rsidRPr="003F52C4" w:rsidRDefault="003F52C4" w:rsidP="003F52C4">
            <w:pPr>
              <w:suppressAutoHyphens/>
              <w:autoSpaceDN w:val="0"/>
              <w:spacing w:after="0" w:line="240" w:lineRule="auto"/>
              <w:rPr>
                <w:rFonts w:ascii="Franklin Gothic Book" w:eastAsia="Times New Roman" w:hAnsi="Franklin Gothic Book" w:cs="Times New Roman"/>
                <w:lang w:val="en-US"/>
              </w:rPr>
            </w:pPr>
            <w:r w:rsidRPr="003F52C4">
              <w:rPr>
                <w:rFonts w:ascii="Calibri" w:eastAsia="Times New Roman" w:hAnsi="Calibri" w:cs="Calibri"/>
                <w:b/>
                <w:bCs/>
                <w:sz w:val="18"/>
                <w:szCs w:val="18"/>
              </w:rPr>
              <w:t>Other</w:t>
            </w:r>
            <w:r w:rsidRPr="003F52C4">
              <w:rPr>
                <w:rFonts w:ascii="Calibri" w:eastAsia="Times New Roman" w:hAnsi="Calibri" w:cs="Calibri"/>
                <w:sz w:val="18"/>
                <w:szCs w:val="18"/>
              </w:rPr>
              <w:t xml:space="preserve"> - please describe</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9636"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538F23E6" w14:textId="77777777" w:rsidTr="00A74E98">
        <w:tc>
          <w:tcPr>
            <w:tcW w:w="901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5943"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p>
        </w:tc>
      </w:tr>
      <w:tr w:rsidR="003F52C4" w:rsidRPr="003F52C4" w14:paraId="67B3EF0A"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561101D"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r w:rsidRPr="003F52C4">
              <w:rPr>
                <w:rFonts w:ascii="Calibri" w:eastAsia="Times New Roman" w:hAnsi="Calibri" w:cs="Calibri"/>
                <w:b/>
                <w:bCs/>
                <w:sz w:val="18"/>
                <w:szCs w:val="18"/>
              </w:rPr>
              <w:t xml:space="preserve">Direct – </w:t>
            </w:r>
            <w:r w:rsidRPr="003F52C4">
              <w:rPr>
                <w:rFonts w:ascii="Calibri" w:eastAsia="Times New Roman" w:hAnsi="Calibri" w:cs="Calibri"/>
                <w:sz w:val="18"/>
                <w:szCs w:val="18"/>
              </w:rPr>
              <w:t xml:space="preserve">Where you are the only party (Other than Aro and the insurer for whom Aro act on behalf of) in the distribution chain, please advise your commissions, fees and remunerations below. </w:t>
            </w:r>
          </w:p>
        </w:tc>
      </w:tr>
      <w:tr w:rsidR="0037776B" w:rsidRPr="003F52C4" w14:paraId="3243183C" w14:textId="2CA18F1B" w:rsidTr="002A3446">
        <w:trPr>
          <w:trHeight w:val="252"/>
        </w:trPr>
        <w:tc>
          <w:tcPr>
            <w:tcW w:w="3814"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0C90EC14" w14:textId="0A47C0B0" w:rsidR="0037776B" w:rsidRPr="0037776B" w:rsidRDefault="0037776B" w:rsidP="00D86486">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Fees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2EBD611B" w14:textId="25B22692" w:rsidR="0037776B" w:rsidRPr="0037776B" w:rsidRDefault="0037776B" w:rsidP="0037776B">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New Business Fee</w:t>
            </w:r>
          </w:p>
        </w:tc>
        <w:tc>
          <w:tcPr>
            <w:tcW w:w="1280" w:type="dxa"/>
            <w:gridSpan w:val="3"/>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214FA453" w14:textId="5FEF628D" w:rsidR="0037776B" w:rsidRPr="0037776B" w:rsidRDefault="0037776B" w:rsidP="0037776B">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Mid-Term Adjustments Fee</w:t>
            </w:r>
          </w:p>
        </w:tc>
        <w:tc>
          <w:tcPr>
            <w:tcW w:w="1276" w:type="dxa"/>
            <w:gridSpan w:val="3"/>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6821B5D5" w14:textId="48198D0A" w:rsidR="0037776B" w:rsidRPr="0037776B" w:rsidRDefault="0037776B" w:rsidP="0037776B">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Cancellations Fee</w:t>
            </w:r>
          </w:p>
        </w:tc>
        <w:tc>
          <w:tcPr>
            <w:tcW w:w="122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4CFBD62D" w14:textId="11BB0895" w:rsidR="0037776B" w:rsidRPr="0037776B" w:rsidRDefault="0037776B" w:rsidP="0037776B">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Renewals Fee</w:t>
            </w:r>
          </w:p>
        </w:tc>
      </w:tr>
      <w:tr w:rsidR="0037776B" w:rsidRPr="003F52C4" w14:paraId="4297EBF9" w14:textId="625A1A03" w:rsidTr="002A3446">
        <w:trPr>
          <w:trHeight w:val="252"/>
        </w:trPr>
        <w:tc>
          <w:tcPr>
            <w:tcW w:w="3814"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28B1BF" w14:textId="3AEF52C9" w:rsidR="0037776B" w:rsidRPr="003F52C4" w:rsidRDefault="0037776B" w:rsidP="003F52C4">
            <w:pPr>
              <w:suppressAutoHyphens/>
              <w:autoSpaceDN w:val="0"/>
              <w:spacing w:after="0" w:line="240" w:lineRule="auto"/>
              <w:rPr>
                <w:rFonts w:ascii="Calibri" w:eastAsia="Times New Roman" w:hAnsi="Calibri" w:cs="Calibri"/>
                <w:sz w:val="18"/>
                <w:szCs w:val="18"/>
              </w:rPr>
            </w:pP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537A3EA" w14:textId="77777777" w:rsidR="0037776B" w:rsidRPr="003F52C4" w:rsidRDefault="0037776B" w:rsidP="003F52C4">
            <w:pPr>
              <w:suppressAutoHyphens/>
              <w:autoSpaceDN w:val="0"/>
              <w:spacing w:after="0" w:line="240" w:lineRule="auto"/>
              <w:rPr>
                <w:rFonts w:ascii="Calibri" w:eastAsia="Times New Roman" w:hAnsi="Calibri" w:cs="Calibri"/>
                <w:sz w:val="18"/>
                <w:szCs w:val="18"/>
              </w:rPr>
            </w:pPr>
          </w:p>
        </w:tc>
        <w:tc>
          <w:tcPr>
            <w:tcW w:w="1280" w:type="dxa"/>
            <w:gridSpan w:val="3"/>
            <w:tcBorders>
              <w:top w:val="single" w:sz="4" w:space="0" w:color="000000"/>
              <w:left w:val="single" w:sz="4" w:space="0" w:color="auto"/>
              <w:bottom w:val="single" w:sz="4" w:space="0" w:color="000000"/>
              <w:right w:val="single" w:sz="4" w:space="0" w:color="auto"/>
            </w:tcBorders>
          </w:tcPr>
          <w:p w14:paraId="34186C0A" w14:textId="77777777" w:rsidR="0037776B" w:rsidRPr="003F52C4" w:rsidRDefault="0037776B" w:rsidP="003F52C4">
            <w:pPr>
              <w:suppressAutoHyphens/>
              <w:autoSpaceDN w:val="0"/>
              <w:spacing w:after="0" w:line="240" w:lineRule="auto"/>
              <w:rPr>
                <w:rFonts w:ascii="Calibri" w:eastAsia="Times New Roman" w:hAnsi="Calibri" w:cs="Calibri"/>
                <w:sz w:val="18"/>
                <w:szCs w:val="18"/>
              </w:rPr>
            </w:pPr>
          </w:p>
        </w:tc>
        <w:tc>
          <w:tcPr>
            <w:tcW w:w="1276" w:type="dxa"/>
            <w:gridSpan w:val="3"/>
            <w:tcBorders>
              <w:top w:val="single" w:sz="4" w:space="0" w:color="000000"/>
              <w:left w:val="single" w:sz="4" w:space="0" w:color="auto"/>
              <w:bottom w:val="single" w:sz="4" w:space="0" w:color="000000"/>
              <w:right w:val="single" w:sz="4" w:space="0" w:color="auto"/>
            </w:tcBorders>
          </w:tcPr>
          <w:p w14:paraId="1658C039" w14:textId="77777777" w:rsidR="0037776B" w:rsidRPr="003F52C4" w:rsidRDefault="0037776B" w:rsidP="003F52C4">
            <w:pPr>
              <w:suppressAutoHyphens/>
              <w:autoSpaceDN w:val="0"/>
              <w:spacing w:after="0" w:line="240" w:lineRule="auto"/>
              <w:rPr>
                <w:rFonts w:ascii="Calibri" w:eastAsia="Times New Roman" w:hAnsi="Calibri" w:cs="Calibri"/>
                <w:sz w:val="18"/>
                <w:szCs w:val="18"/>
              </w:rPr>
            </w:pPr>
          </w:p>
        </w:tc>
        <w:tc>
          <w:tcPr>
            <w:tcW w:w="1228" w:type="dxa"/>
            <w:tcBorders>
              <w:top w:val="single" w:sz="4" w:space="0" w:color="000000"/>
              <w:left w:val="single" w:sz="4" w:space="0" w:color="auto"/>
              <w:bottom w:val="single" w:sz="4" w:space="0" w:color="000000"/>
              <w:right w:val="single" w:sz="4" w:space="0" w:color="000000"/>
            </w:tcBorders>
          </w:tcPr>
          <w:p w14:paraId="35A4D52F" w14:textId="77777777" w:rsidR="0037776B" w:rsidRPr="003F52C4" w:rsidRDefault="0037776B" w:rsidP="003F52C4">
            <w:pPr>
              <w:suppressAutoHyphens/>
              <w:autoSpaceDN w:val="0"/>
              <w:spacing w:after="0" w:line="240" w:lineRule="auto"/>
              <w:rPr>
                <w:rFonts w:ascii="Calibri" w:eastAsia="Times New Roman" w:hAnsi="Calibri" w:cs="Calibri"/>
                <w:sz w:val="18"/>
                <w:szCs w:val="18"/>
              </w:rPr>
            </w:pPr>
          </w:p>
        </w:tc>
      </w:tr>
      <w:tr w:rsidR="003F52C4" w:rsidRPr="003F52C4" w14:paraId="4C1D2B0D"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944907D" w14:textId="77777777" w:rsidR="003F52C4" w:rsidRPr="0037776B" w:rsidRDefault="003F52C4" w:rsidP="003F52C4">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Other Remuneration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7EDDE"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AF72F3" w:rsidRPr="003F52C4" w14:paraId="00152C65"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12B273A" w14:textId="77777777" w:rsidR="00AF72F3" w:rsidRPr="0037776B" w:rsidRDefault="00AF72F3" w:rsidP="00AF72F3">
            <w:pPr>
              <w:suppressAutoHyphens/>
              <w:autoSpaceDN w:val="0"/>
              <w:spacing w:after="0" w:line="240" w:lineRule="auto"/>
              <w:rPr>
                <w:rFonts w:ascii="Calibri" w:eastAsia="Times New Roman" w:hAnsi="Calibri" w:cs="Calibri"/>
                <w:b/>
                <w:bCs/>
                <w:sz w:val="18"/>
                <w:szCs w:val="18"/>
              </w:rPr>
            </w:pPr>
            <w:r w:rsidRPr="0037776B">
              <w:rPr>
                <w:rFonts w:ascii="Calibri" w:eastAsia="Times New Roman" w:hAnsi="Calibri" w:cs="Calibri"/>
                <w:b/>
                <w:bCs/>
                <w:sz w:val="18"/>
                <w:szCs w:val="18"/>
              </w:rPr>
              <w:t>Retained Commission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C9AA2" w14:textId="77777777" w:rsidR="00AF72F3" w:rsidRPr="003F52C4" w:rsidRDefault="00AF72F3" w:rsidP="00AF72F3">
            <w:pPr>
              <w:suppressAutoHyphens/>
              <w:autoSpaceDN w:val="0"/>
              <w:spacing w:after="0" w:line="240" w:lineRule="auto"/>
              <w:rPr>
                <w:rFonts w:ascii="Calibri" w:eastAsia="Times New Roman" w:hAnsi="Calibri" w:cs="Calibri"/>
                <w:sz w:val="18"/>
                <w:szCs w:val="18"/>
              </w:rPr>
            </w:pPr>
          </w:p>
        </w:tc>
      </w:tr>
      <w:tr w:rsidR="003F52C4" w:rsidRPr="003F52C4" w14:paraId="0056BD2C"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6095D8E"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bookmarkStart w:id="0" w:name="_Hlk115445065"/>
            <w:r w:rsidRPr="003F52C4">
              <w:rPr>
                <w:rFonts w:ascii="Calibri" w:eastAsia="Times New Roman" w:hAnsi="Calibri" w:cs="Calibri"/>
                <w:b/>
                <w:bCs/>
                <w:sz w:val="18"/>
                <w:szCs w:val="18"/>
              </w:rPr>
              <w:t>Wholesale -</w:t>
            </w:r>
            <w:r w:rsidRPr="003F52C4">
              <w:rPr>
                <w:rFonts w:ascii="Calibri" w:eastAsia="Times New Roman" w:hAnsi="Calibri" w:cs="Calibri"/>
                <w:sz w:val="18"/>
                <w:szCs w:val="18"/>
              </w:rPr>
              <w:t xml:space="preserve"> Where an additional party exists in the distribution chain (Other than Aro and the insurer for whom Aro act on behalf of), please advise additional commissions, fees and remunerations paid to that party below.</w:t>
            </w:r>
          </w:p>
        </w:tc>
      </w:tr>
      <w:tr w:rsidR="002A3446" w:rsidRPr="003F52C4" w14:paraId="2BE46A64" w14:textId="7D02755C" w:rsidTr="001518AC">
        <w:trPr>
          <w:trHeight w:val="252"/>
        </w:trPr>
        <w:tc>
          <w:tcPr>
            <w:tcW w:w="3814"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7E741560" w14:textId="16315AFC"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Fees</w:t>
            </w:r>
          </w:p>
        </w:tc>
        <w:tc>
          <w:tcPr>
            <w:tcW w:w="14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46650101" w14:textId="55B2DE4E"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New Business Fee</w:t>
            </w:r>
          </w:p>
        </w:tc>
        <w:tc>
          <w:tcPr>
            <w:tcW w:w="1280" w:type="dxa"/>
            <w:gridSpan w:val="3"/>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6F222A09" w14:textId="121CC42F"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Mid-Term Adjustments Fee</w:t>
            </w:r>
          </w:p>
        </w:tc>
        <w:tc>
          <w:tcPr>
            <w:tcW w:w="1276" w:type="dxa"/>
            <w:gridSpan w:val="3"/>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0C66E34F" w14:textId="365CA98D"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Cancellations Fee</w:t>
            </w:r>
          </w:p>
        </w:tc>
        <w:tc>
          <w:tcPr>
            <w:tcW w:w="122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25D569C" w14:textId="5DCE157C"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Renewals Fee</w:t>
            </w:r>
          </w:p>
        </w:tc>
      </w:tr>
      <w:tr w:rsidR="002A3446" w:rsidRPr="003F52C4" w14:paraId="4ACECBA0" w14:textId="689776AA" w:rsidTr="001518AC">
        <w:trPr>
          <w:trHeight w:val="252"/>
        </w:trPr>
        <w:tc>
          <w:tcPr>
            <w:tcW w:w="3814"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AA3F763" w14:textId="0BD64086"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563F80"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80" w:type="dxa"/>
            <w:gridSpan w:val="3"/>
            <w:tcBorders>
              <w:top w:val="single" w:sz="4" w:space="0" w:color="000000"/>
              <w:left w:val="single" w:sz="4" w:space="0" w:color="auto"/>
              <w:bottom w:val="single" w:sz="4" w:space="0" w:color="000000"/>
              <w:right w:val="single" w:sz="4" w:space="0" w:color="auto"/>
            </w:tcBorders>
          </w:tcPr>
          <w:p w14:paraId="04333728"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76" w:type="dxa"/>
            <w:gridSpan w:val="3"/>
            <w:tcBorders>
              <w:top w:val="single" w:sz="4" w:space="0" w:color="000000"/>
              <w:left w:val="single" w:sz="4" w:space="0" w:color="auto"/>
              <w:bottom w:val="single" w:sz="4" w:space="0" w:color="000000"/>
              <w:right w:val="single" w:sz="4" w:space="0" w:color="auto"/>
            </w:tcBorders>
          </w:tcPr>
          <w:p w14:paraId="28A796DA"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28" w:type="dxa"/>
            <w:tcBorders>
              <w:top w:val="single" w:sz="4" w:space="0" w:color="000000"/>
              <w:left w:val="single" w:sz="4" w:space="0" w:color="auto"/>
              <w:bottom w:val="single" w:sz="4" w:space="0" w:color="000000"/>
              <w:right w:val="single" w:sz="4" w:space="0" w:color="000000"/>
            </w:tcBorders>
          </w:tcPr>
          <w:p w14:paraId="15B033EC"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r>
      <w:tr w:rsidR="003F52C4" w:rsidRPr="003F52C4" w14:paraId="086ECD08"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A669908" w14:textId="7D95B5F8"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Other Remuneration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9B4ED"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08C8E34D"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BC52B9" w14:textId="64C0BC3D"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Retained Commission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E3A21"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1E906E59"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C4B640"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bookmarkStart w:id="1" w:name="_Hlk115445287"/>
            <w:bookmarkEnd w:id="0"/>
            <w:r w:rsidRPr="003F52C4">
              <w:rPr>
                <w:rFonts w:ascii="Calibri" w:eastAsia="Times New Roman" w:hAnsi="Calibri" w:cs="Calibri"/>
                <w:b/>
                <w:bCs/>
                <w:sz w:val="18"/>
                <w:szCs w:val="18"/>
              </w:rPr>
              <w:t>Claims –</w:t>
            </w:r>
            <w:r w:rsidRPr="003F52C4">
              <w:rPr>
                <w:rFonts w:ascii="Calibri" w:eastAsia="Times New Roman" w:hAnsi="Calibri" w:cs="Calibri"/>
                <w:sz w:val="18"/>
                <w:szCs w:val="18"/>
              </w:rPr>
              <w:t xml:space="preserve"> Where claims service is provided by you or an additional party in the distribution chain (Other than Aro, the insurer for whom Aro act on behalf of or the claims TPA appointed by them), please advise additional commissions, fees and remunerations paid to that party below.</w:t>
            </w:r>
          </w:p>
        </w:tc>
      </w:tr>
      <w:tr w:rsidR="002A3446" w:rsidRPr="003F52C4" w14:paraId="35CFC398" w14:textId="1474F4B0" w:rsidTr="008A5525">
        <w:trPr>
          <w:trHeight w:val="252"/>
        </w:trPr>
        <w:tc>
          <w:tcPr>
            <w:tcW w:w="3814"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23176FBC" w14:textId="58F32893"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Fees</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55263518" w14:textId="72EACCCB"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New Business Fee</w:t>
            </w:r>
          </w:p>
        </w:tc>
        <w:tc>
          <w:tcPr>
            <w:tcW w:w="1286" w:type="dxa"/>
            <w:gridSpan w:val="3"/>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14770CBF" w14:textId="5B7963EB"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Mid-Term Adjustments Fee</w:t>
            </w:r>
          </w:p>
        </w:tc>
        <w:tc>
          <w:tcPr>
            <w:tcW w:w="1254"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1CDD278D" w14:textId="5E5A7D8D"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Cancellations Fee</w:t>
            </w:r>
          </w:p>
        </w:tc>
        <w:tc>
          <w:tcPr>
            <w:tcW w:w="1236"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5DBCF8A" w14:textId="1F41A5A6"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Renewals Fee</w:t>
            </w:r>
          </w:p>
        </w:tc>
      </w:tr>
      <w:tr w:rsidR="002A3446" w:rsidRPr="003F52C4" w14:paraId="417A1671" w14:textId="2922C203" w:rsidTr="008A5525">
        <w:trPr>
          <w:trHeight w:val="252"/>
        </w:trPr>
        <w:tc>
          <w:tcPr>
            <w:tcW w:w="3814"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5E60F8B" w14:textId="722935E4" w:rsidR="002A3446" w:rsidRPr="002A3446" w:rsidRDefault="002A3446" w:rsidP="003F52C4">
            <w:pPr>
              <w:suppressAutoHyphens/>
              <w:autoSpaceDN w:val="0"/>
              <w:spacing w:after="0" w:line="240" w:lineRule="auto"/>
              <w:rPr>
                <w:rFonts w:ascii="Calibri" w:eastAsia="Times New Roman" w:hAnsi="Calibri" w:cs="Calibri"/>
                <w:b/>
                <w:bCs/>
                <w:sz w:val="18"/>
                <w:szCs w:val="18"/>
              </w:rPr>
            </w:pPr>
          </w:p>
        </w:tc>
        <w:tc>
          <w:tcPr>
            <w:tcW w:w="142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5EF1EB7"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86" w:type="dxa"/>
            <w:gridSpan w:val="3"/>
            <w:tcBorders>
              <w:top w:val="single" w:sz="4" w:space="0" w:color="000000"/>
              <w:left w:val="single" w:sz="4" w:space="0" w:color="auto"/>
              <w:bottom w:val="single" w:sz="4" w:space="0" w:color="000000"/>
              <w:right w:val="single" w:sz="4" w:space="0" w:color="auto"/>
            </w:tcBorders>
          </w:tcPr>
          <w:p w14:paraId="388FE86D"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54" w:type="dxa"/>
            <w:tcBorders>
              <w:top w:val="single" w:sz="4" w:space="0" w:color="000000"/>
              <w:left w:val="single" w:sz="4" w:space="0" w:color="auto"/>
              <w:bottom w:val="single" w:sz="4" w:space="0" w:color="000000"/>
              <w:right w:val="single" w:sz="4" w:space="0" w:color="auto"/>
            </w:tcBorders>
          </w:tcPr>
          <w:p w14:paraId="2D62AEEF"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36" w:type="dxa"/>
            <w:gridSpan w:val="2"/>
            <w:tcBorders>
              <w:top w:val="single" w:sz="4" w:space="0" w:color="000000"/>
              <w:left w:val="single" w:sz="4" w:space="0" w:color="auto"/>
              <w:bottom w:val="single" w:sz="4" w:space="0" w:color="000000"/>
              <w:right w:val="single" w:sz="4" w:space="0" w:color="000000"/>
            </w:tcBorders>
          </w:tcPr>
          <w:p w14:paraId="3579C355"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r>
      <w:tr w:rsidR="003F52C4" w:rsidRPr="003F52C4" w14:paraId="2CBAADFF"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BBBD3A" w14:textId="3FAB5F4B"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Other Remuneration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71B2F"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4FB2CF27"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0B1D3E6" w14:textId="65939852"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Retained Commission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AE43E"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bookmarkEnd w:id="1"/>
      <w:tr w:rsidR="003F52C4" w:rsidRPr="003F52C4" w14:paraId="3DD1B707"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9C1E097"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r w:rsidRPr="003F52C4">
              <w:rPr>
                <w:rFonts w:ascii="Calibri" w:eastAsia="Times New Roman" w:hAnsi="Calibri" w:cs="Calibri"/>
                <w:b/>
                <w:bCs/>
                <w:sz w:val="18"/>
                <w:szCs w:val="18"/>
              </w:rPr>
              <w:t>Other –</w:t>
            </w:r>
            <w:r w:rsidRPr="003F52C4">
              <w:rPr>
                <w:rFonts w:ascii="Calibri" w:eastAsia="Times New Roman" w:hAnsi="Calibri" w:cs="Calibri"/>
                <w:sz w:val="18"/>
                <w:szCs w:val="18"/>
              </w:rPr>
              <w:t xml:space="preserve"> Where any party other than those referred to above forms part of the distribution chain, please advise additional commissions, fees and remunerations paid to that party below.</w:t>
            </w:r>
          </w:p>
        </w:tc>
      </w:tr>
      <w:tr w:rsidR="002A3446" w:rsidRPr="003F52C4" w14:paraId="04768C44" w14:textId="17A8A77D" w:rsidTr="00E35738">
        <w:trPr>
          <w:trHeight w:val="252"/>
        </w:trPr>
        <w:tc>
          <w:tcPr>
            <w:tcW w:w="3814"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1C2B80DD" w14:textId="34AF127B"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lastRenderedPageBreak/>
              <w:t>Fees</w:t>
            </w:r>
          </w:p>
        </w:tc>
        <w:tc>
          <w:tcPr>
            <w:tcW w:w="142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4BFB5847" w14:textId="1C4884B9"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New Business Fee</w:t>
            </w:r>
          </w:p>
        </w:tc>
        <w:tc>
          <w:tcPr>
            <w:tcW w:w="1224"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441ACE13" w14:textId="59FA715B"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Mid-Term Adjustments Fee</w:t>
            </w:r>
          </w:p>
        </w:tc>
        <w:tc>
          <w:tcPr>
            <w:tcW w:w="1324" w:type="dxa"/>
            <w:gridSpan w:val="4"/>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028A985E" w14:textId="283F395F"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Cancellations Fee</w:t>
            </w:r>
          </w:p>
        </w:tc>
        <w:tc>
          <w:tcPr>
            <w:tcW w:w="122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C2E2AD3" w14:textId="3919C562" w:rsidR="002A3446"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Renewals Fee</w:t>
            </w:r>
          </w:p>
        </w:tc>
      </w:tr>
      <w:tr w:rsidR="002A3446" w:rsidRPr="003F52C4" w14:paraId="74F2708F" w14:textId="077FF74C" w:rsidTr="00E35738">
        <w:trPr>
          <w:trHeight w:val="252"/>
        </w:trPr>
        <w:tc>
          <w:tcPr>
            <w:tcW w:w="3814"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1676DE5" w14:textId="06B31D5A" w:rsidR="002A3446" w:rsidRPr="002A3446" w:rsidRDefault="002A3446" w:rsidP="003F52C4">
            <w:pPr>
              <w:suppressAutoHyphens/>
              <w:autoSpaceDN w:val="0"/>
              <w:spacing w:after="0" w:line="240" w:lineRule="auto"/>
              <w:rPr>
                <w:rFonts w:ascii="Calibri" w:eastAsia="Times New Roman" w:hAnsi="Calibri" w:cs="Calibri"/>
                <w:b/>
                <w:bCs/>
                <w:sz w:val="18"/>
                <w:szCs w:val="18"/>
              </w:rPr>
            </w:pPr>
          </w:p>
        </w:tc>
        <w:tc>
          <w:tcPr>
            <w:tcW w:w="142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EFC8AD"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24" w:type="dxa"/>
            <w:tcBorders>
              <w:top w:val="single" w:sz="4" w:space="0" w:color="000000"/>
              <w:left w:val="single" w:sz="4" w:space="0" w:color="auto"/>
              <w:bottom w:val="single" w:sz="4" w:space="0" w:color="000000"/>
              <w:right w:val="single" w:sz="4" w:space="0" w:color="auto"/>
            </w:tcBorders>
          </w:tcPr>
          <w:p w14:paraId="1351B50D"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324" w:type="dxa"/>
            <w:gridSpan w:val="4"/>
            <w:tcBorders>
              <w:top w:val="single" w:sz="4" w:space="0" w:color="000000"/>
              <w:left w:val="single" w:sz="4" w:space="0" w:color="auto"/>
              <w:bottom w:val="single" w:sz="4" w:space="0" w:color="000000"/>
              <w:right w:val="single" w:sz="4" w:space="0" w:color="auto"/>
            </w:tcBorders>
          </w:tcPr>
          <w:p w14:paraId="30D4507D"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c>
          <w:tcPr>
            <w:tcW w:w="1228" w:type="dxa"/>
            <w:tcBorders>
              <w:top w:val="single" w:sz="4" w:space="0" w:color="000000"/>
              <w:left w:val="single" w:sz="4" w:space="0" w:color="auto"/>
              <w:bottom w:val="single" w:sz="4" w:space="0" w:color="000000"/>
              <w:right w:val="single" w:sz="4" w:space="0" w:color="000000"/>
            </w:tcBorders>
          </w:tcPr>
          <w:p w14:paraId="533EDE99" w14:textId="77777777" w:rsidR="002A3446" w:rsidRPr="003F52C4" w:rsidRDefault="002A3446" w:rsidP="003F52C4">
            <w:pPr>
              <w:suppressAutoHyphens/>
              <w:autoSpaceDN w:val="0"/>
              <w:spacing w:after="0" w:line="240" w:lineRule="auto"/>
              <w:rPr>
                <w:rFonts w:ascii="Calibri" w:eastAsia="Times New Roman" w:hAnsi="Calibri" w:cs="Calibri"/>
                <w:sz w:val="18"/>
                <w:szCs w:val="18"/>
              </w:rPr>
            </w:pPr>
          </w:p>
        </w:tc>
      </w:tr>
      <w:tr w:rsidR="003F52C4" w:rsidRPr="003F52C4" w14:paraId="52E999FA"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3D50461" w14:textId="4CBF3161"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Other Remuneration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5BC66"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3B134672" w14:textId="77777777" w:rsidTr="002A3446">
        <w:trPr>
          <w:trHeight w:val="252"/>
        </w:trPr>
        <w:tc>
          <w:tcPr>
            <w:tcW w:w="381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6C4EEA6" w14:textId="250821DF" w:rsidR="003F52C4" w:rsidRPr="002A3446" w:rsidRDefault="002A3446" w:rsidP="003F52C4">
            <w:pPr>
              <w:suppressAutoHyphens/>
              <w:autoSpaceDN w:val="0"/>
              <w:spacing w:after="0" w:line="240" w:lineRule="auto"/>
              <w:rPr>
                <w:rFonts w:ascii="Calibri" w:eastAsia="Times New Roman" w:hAnsi="Calibri" w:cs="Calibri"/>
                <w:b/>
                <w:bCs/>
                <w:sz w:val="18"/>
                <w:szCs w:val="18"/>
              </w:rPr>
            </w:pPr>
            <w:r w:rsidRPr="002A3446">
              <w:rPr>
                <w:rFonts w:ascii="Calibri" w:eastAsia="Times New Roman" w:hAnsi="Calibri" w:cs="Calibri"/>
                <w:b/>
                <w:bCs/>
                <w:sz w:val="18"/>
                <w:szCs w:val="18"/>
              </w:rPr>
              <w:t>Retained Commission</w:t>
            </w:r>
          </w:p>
        </w:tc>
        <w:tc>
          <w:tcPr>
            <w:tcW w:w="52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468C"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0C1A0B50"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C7FC0F3"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p>
        </w:tc>
      </w:tr>
      <w:tr w:rsidR="003F52C4" w:rsidRPr="003F52C4" w14:paraId="0E15A3F0"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30B827" w14:textId="77777777" w:rsidR="003F52C4" w:rsidRPr="003F52C4" w:rsidRDefault="003F52C4" w:rsidP="003F52C4">
            <w:pPr>
              <w:suppressAutoHyphens/>
              <w:autoSpaceDN w:val="0"/>
              <w:spacing w:after="0" w:line="240" w:lineRule="auto"/>
              <w:rPr>
                <w:rFonts w:ascii="Calibri" w:eastAsia="Times New Roman" w:hAnsi="Calibri" w:cs="Calibri"/>
                <w:b/>
                <w:bCs/>
                <w:sz w:val="18"/>
                <w:szCs w:val="18"/>
              </w:rPr>
            </w:pPr>
            <w:r w:rsidRPr="003F52C4">
              <w:rPr>
                <w:rFonts w:ascii="Calibri" w:eastAsia="Times New Roman" w:hAnsi="Calibri" w:cs="Calibri"/>
                <w:b/>
                <w:bCs/>
                <w:sz w:val="18"/>
                <w:szCs w:val="18"/>
              </w:rPr>
              <w:t>Information on any ancillary products/activities sold alongside the product which may affect the product’s value: (Select all that apply)</w:t>
            </w:r>
          </w:p>
        </w:tc>
      </w:tr>
      <w:tr w:rsidR="003F52C4" w:rsidRPr="003F52C4" w14:paraId="3D34E3DF" w14:textId="77777777" w:rsidTr="002A3446">
        <w:trPr>
          <w:trHeight w:val="254"/>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D3A6"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Legal Expenses</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809D"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34712816"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6BDE0"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Gap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F0860"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2C510473"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C54"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Key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18A3"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4905B579"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8472"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Emergency Home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ECFF"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1A85D41C"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FBDB2"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Loss Recovery (pays for a loss assessor to act on insureds behalf)</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D453C"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5335473A"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6EA53"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Breakdown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835D0"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146485D8"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A4DAB"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Windscreen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6B8B"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06A1DA15"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F7AD8"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Courtesy car Cover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8A655"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4159F667"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0AE2"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Risk Management Services e.g. health &amp; safety assessment, consultancy</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3CDF"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098D4849"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E9A85"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Premium Finance (if offered by the same provider)</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AB6A2"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7CF4D702" w14:textId="77777777" w:rsidTr="002A3446">
        <w:trPr>
          <w:trHeight w:val="253"/>
        </w:trPr>
        <w:tc>
          <w:tcPr>
            <w:tcW w:w="77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CD6C"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Other - please describe</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764D9"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2F986EF8" w14:textId="77777777" w:rsidTr="00A74E98">
        <w:tc>
          <w:tcPr>
            <w:tcW w:w="9016"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7E9636F"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Information on how the selected products above affect the product’s value:</w:t>
            </w:r>
          </w:p>
        </w:tc>
      </w:tr>
      <w:tr w:rsidR="003F52C4" w:rsidRPr="003F52C4" w14:paraId="0F4C76F1" w14:textId="77777777" w:rsidTr="00A74E98">
        <w:tc>
          <w:tcPr>
            <w:tcW w:w="901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5EB2D"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7C3EC820"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0F905EB3"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308DC23C"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49613D08"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326F2F74"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5FB92F5F"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5E5B3D81"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6D537093"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3512BB21"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2AA1A10E"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15AC552E"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tc>
      </w:tr>
      <w:tr w:rsidR="003F52C4" w:rsidRPr="003F52C4" w14:paraId="20F7B375" w14:textId="77777777" w:rsidTr="002A3446">
        <w:tc>
          <w:tcPr>
            <w:tcW w:w="778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7BBBFE"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r w:rsidRPr="003F52C4">
              <w:rPr>
                <w:rFonts w:ascii="Calibri" w:eastAsia="Times New Roman" w:hAnsi="Calibri" w:cs="Calibri"/>
                <w:sz w:val="18"/>
                <w:szCs w:val="18"/>
              </w:rPr>
              <w:t xml:space="preserve">Please confirm that the above remuneration for all products (Including ancillary products) paid by the customer is consistent with the regulatory obligations. Where necessary, please provide further details below: </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BAD8"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r w:rsidRPr="003F52C4">
              <w:rPr>
                <w:rFonts w:ascii="Calibri" w:eastAsia="Times New Roman" w:hAnsi="Calibri" w:cs="Calibri"/>
                <w:sz w:val="18"/>
                <w:szCs w:val="18"/>
              </w:rPr>
              <w:t>Yes/No</w:t>
            </w:r>
          </w:p>
        </w:tc>
      </w:tr>
      <w:tr w:rsidR="003F52C4" w:rsidRPr="003F52C4" w14:paraId="03BE2EB3" w14:textId="77777777" w:rsidTr="00A74E98">
        <w:tc>
          <w:tcPr>
            <w:tcW w:w="901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C51D0"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42CB8F40"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1643594D"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30C5AAA7"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2A308DAE"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23B80ADA"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66852156"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1C5CDFC6"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4811FC42" w14:textId="074B7C0E" w:rsidR="003F52C4" w:rsidRPr="003F52C4" w:rsidRDefault="00B94172" w:rsidP="00B94172">
            <w:pPr>
              <w:tabs>
                <w:tab w:val="left" w:pos="3481"/>
              </w:tabs>
              <w:suppressAutoHyphens/>
              <w:autoSpaceDN w:val="0"/>
              <w:spacing w:after="0" w:line="240" w:lineRule="auto"/>
              <w:rPr>
                <w:rFonts w:ascii="Calibri" w:eastAsia="Times New Roman" w:hAnsi="Calibri" w:cs="Calibri"/>
                <w:sz w:val="18"/>
                <w:szCs w:val="18"/>
              </w:rPr>
            </w:pPr>
            <w:r>
              <w:rPr>
                <w:rFonts w:ascii="Calibri" w:eastAsia="Times New Roman" w:hAnsi="Calibri" w:cs="Calibri"/>
                <w:sz w:val="18"/>
                <w:szCs w:val="18"/>
              </w:rPr>
              <w:tab/>
            </w:r>
          </w:p>
          <w:p w14:paraId="75073BE0"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319100A7" w14:textId="77777777" w:rsidR="003F52C4" w:rsidRPr="003F52C4" w:rsidRDefault="003F52C4" w:rsidP="003F52C4">
            <w:pPr>
              <w:suppressAutoHyphens/>
              <w:autoSpaceDN w:val="0"/>
              <w:spacing w:after="0" w:line="240" w:lineRule="auto"/>
              <w:rPr>
                <w:rFonts w:ascii="Calibri" w:eastAsia="Times New Roman" w:hAnsi="Calibri" w:cs="Calibri"/>
                <w:sz w:val="18"/>
                <w:szCs w:val="18"/>
              </w:rPr>
            </w:pPr>
          </w:p>
          <w:p w14:paraId="22D2DF4F"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p w14:paraId="0ECDAEF9" w14:textId="77777777" w:rsidR="003F52C4" w:rsidRPr="003F52C4" w:rsidRDefault="003F52C4" w:rsidP="003F52C4">
            <w:pPr>
              <w:suppressAutoHyphens/>
              <w:autoSpaceDN w:val="0"/>
              <w:spacing w:after="0" w:line="240" w:lineRule="auto"/>
              <w:jc w:val="center"/>
              <w:rPr>
                <w:rFonts w:ascii="Calibri" w:eastAsia="Times New Roman" w:hAnsi="Calibri" w:cs="Calibri"/>
                <w:sz w:val="18"/>
                <w:szCs w:val="18"/>
              </w:rPr>
            </w:pPr>
          </w:p>
        </w:tc>
      </w:tr>
    </w:tbl>
    <w:p w14:paraId="32122AE5" w14:textId="77777777" w:rsidR="003F52C4" w:rsidRPr="003F52C4" w:rsidRDefault="003F52C4" w:rsidP="003F52C4">
      <w:pPr>
        <w:suppressAutoHyphens/>
        <w:autoSpaceDN w:val="0"/>
        <w:spacing w:before="240" w:after="0" w:line="251" w:lineRule="auto"/>
        <w:rPr>
          <w:rFonts w:ascii="Calibri" w:eastAsia="Times New Roman" w:hAnsi="Calibri" w:cs="Calibri"/>
          <w:sz w:val="16"/>
          <w:szCs w:val="16"/>
          <w:lang w:val="en-US"/>
        </w:rPr>
      </w:pPr>
      <w:r w:rsidRPr="003F52C4">
        <w:rPr>
          <w:rFonts w:ascii="Calibri" w:eastAsia="Times New Roman" w:hAnsi="Calibri" w:cs="Calibri"/>
          <w:sz w:val="16"/>
          <w:szCs w:val="16"/>
          <w:lang w:val="en-US"/>
        </w:rPr>
        <w:br w:type="textWrapping" w:clear="all"/>
      </w:r>
    </w:p>
    <w:p w14:paraId="7E0470EC" w14:textId="77777777" w:rsidR="003F52C4" w:rsidRPr="003F52C4" w:rsidRDefault="003F52C4" w:rsidP="003F52C4">
      <w:pPr>
        <w:suppressAutoHyphens/>
        <w:autoSpaceDN w:val="0"/>
        <w:spacing w:before="240" w:after="0" w:line="251" w:lineRule="auto"/>
        <w:rPr>
          <w:rFonts w:ascii="Calibri" w:eastAsia="Times New Roman" w:hAnsi="Calibri" w:cs="Calibri"/>
          <w:sz w:val="16"/>
          <w:szCs w:val="16"/>
          <w:lang w:val="en-US"/>
        </w:rPr>
      </w:pPr>
    </w:p>
    <w:p w14:paraId="2A8FA70B" w14:textId="77777777" w:rsidR="003F52C4" w:rsidRPr="003F52C4" w:rsidRDefault="003F52C4" w:rsidP="003F52C4">
      <w:pPr>
        <w:suppressAutoHyphens/>
        <w:autoSpaceDN w:val="0"/>
        <w:spacing w:before="240" w:after="0" w:line="251" w:lineRule="auto"/>
        <w:rPr>
          <w:rFonts w:ascii="Franklin Gothic Book" w:eastAsia="Times New Roman" w:hAnsi="Franklin Gothic Book" w:cs="Times New Roman"/>
          <w:lang w:val="en-US"/>
        </w:rPr>
      </w:pPr>
      <w:r w:rsidRPr="003F52C4">
        <w:rPr>
          <w:rFonts w:ascii="Calibri" w:eastAsia="Times New Roman" w:hAnsi="Calibri" w:cs="Calibri"/>
          <w:sz w:val="16"/>
          <w:szCs w:val="16"/>
          <w:lang w:val="en-US"/>
        </w:rPr>
        <w:t xml:space="preserve">Further information on our products and how we collect and store data can be found on </w:t>
      </w:r>
      <w:hyperlink r:id="rId6" w:history="1">
        <w:r w:rsidRPr="003F52C4">
          <w:rPr>
            <w:rFonts w:ascii="Calibri" w:eastAsia="Times New Roman" w:hAnsi="Calibri" w:cs="Calibri"/>
            <w:color w:val="0096D2"/>
            <w:sz w:val="16"/>
            <w:szCs w:val="16"/>
            <w:u w:val="single"/>
            <w:lang w:val="en-US"/>
          </w:rPr>
          <w:t>www.aro-underwriting.com</w:t>
        </w:r>
      </w:hyperlink>
      <w:r w:rsidRPr="003F52C4">
        <w:rPr>
          <w:rFonts w:ascii="Calibri" w:eastAsia="Times New Roman" w:hAnsi="Calibri" w:cs="Calibri"/>
          <w:sz w:val="16"/>
          <w:szCs w:val="16"/>
          <w:lang w:val="en-US"/>
        </w:rPr>
        <w:t xml:space="preserve"> </w:t>
      </w:r>
    </w:p>
    <w:p w14:paraId="64081D59" w14:textId="77777777" w:rsidR="003F52C4" w:rsidRPr="003F52C4" w:rsidRDefault="003F52C4" w:rsidP="003F52C4">
      <w:pPr>
        <w:suppressAutoHyphens/>
        <w:autoSpaceDN w:val="0"/>
        <w:spacing w:after="0" w:line="251" w:lineRule="auto"/>
        <w:rPr>
          <w:rFonts w:ascii="Calibri" w:eastAsia="Times New Roman" w:hAnsi="Calibri" w:cs="Calibri"/>
          <w:sz w:val="16"/>
          <w:szCs w:val="16"/>
          <w:lang w:val="en-US"/>
        </w:rPr>
      </w:pPr>
      <w:r w:rsidRPr="003F52C4">
        <w:rPr>
          <w:rFonts w:ascii="Calibri" w:eastAsia="Times New Roman" w:hAnsi="Calibri" w:cs="Calibri"/>
          <w:sz w:val="16"/>
          <w:szCs w:val="16"/>
          <w:lang w:val="en-US"/>
        </w:rPr>
        <w:t xml:space="preserve">Registered office at Sackville House, 55 Buckhurst Avenue, </w:t>
      </w:r>
      <w:proofErr w:type="spellStart"/>
      <w:r w:rsidRPr="003F52C4">
        <w:rPr>
          <w:rFonts w:ascii="Calibri" w:eastAsia="Times New Roman" w:hAnsi="Calibri" w:cs="Calibri"/>
          <w:sz w:val="16"/>
          <w:szCs w:val="16"/>
          <w:lang w:val="en-US"/>
        </w:rPr>
        <w:t>Sevenoaks</w:t>
      </w:r>
      <w:proofErr w:type="spellEnd"/>
      <w:r w:rsidRPr="003F52C4">
        <w:rPr>
          <w:rFonts w:ascii="Calibri" w:eastAsia="Times New Roman" w:hAnsi="Calibri" w:cs="Calibri"/>
          <w:sz w:val="16"/>
          <w:szCs w:val="16"/>
          <w:lang w:val="en-US"/>
        </w:rPr>
        <w:t>, Kent, TN13 1LZ.</w:t>
      </w:r>
    </w:p>
    <w:p w14:paraId="4691D3DD" w14:textId="265ABCB2" w:rsidR="00AC5991" w:rsidRDefault="003F52C4" w:rsidP="003F52C4">
      <w:r w:rsidRPr="003F52C4">
        <w:rPr>
          <w:rFonts w:ascii="Calibri" w:eastAsia="Times New Roman" w:hAnsi="Calibri" w:cs="Calibri"/>
          <w:sz w:val="16"/>
          <w:szCs w:val="16"/>
          <w:lang w:eastAsia="en-GB"/>
        </w:rPr>
        <w:t>Copyright © 2022 </w:t>
      </w:r>
      <w:r w:rsidRPr="003F52C4">
        <w:rPr>
          <w:rFonts w:ascii="Calibri" w:eastAsia="Times New Roman" w:hAnsi="Calibri" w:cs="Calibri"/>
          <w:b/>
          <w:bCs/>
          <w:sz w:val="16"/>
          <w:szCs w:val="16"/>
          <w:lang w:eastAsia="en-GB"/>
        </w:rPr>
        <w:t>ARO Underwriting</w:t>
      </w:r>
      <w:r w:rsidRPr="003F52C4">
        <w:rPr>
          <w:rFonts w:ascii="Calibri" w:eastAsia="Times New Roman" w:hAnsi="Calibri" w:cs="Calibri"/>
          <w:sz w:val="16"/>
          <w:szCs w:val="16"/>
          <w:lang w:eastAsia="en-GB"/>
        </w:rPr>
        <w:t xml:space="preserve">, All Rights </w:t>
      </w:r>
      <w:proofErr w:type="spellStart"/>
      <w:r w:rsidRPr="003F52C4">
        <w:rPr>
          <w:rFonts w:ascii="Calibri" w:eastAsia="Times New Roman" w:hAnsi="Calibri" w:cs="Calibri"/>
          <w:sz w:val="16"/>
          <w:szCs w:val="16"/>
          <w:lang w:eastAsia="en-GB"/>
        </w:rPr>
        <w:t>Reser</w:t>
      </w:r>
      <w:proofErr w:type="spellEnd"/>
    </w:p>
    <w:sectPr w:rsidR="00AC5991" w:rsidSect="003F52C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C4"/>
    <w:rsid w:val="002A3446"/>
    <w:rsid w:val="0037776B"/>
    <w:rsid w:val="003F52C4"/>
    <w:rsid w:val="005313E0"/>
    <w:rsid w:val="005B0954"/>
    <w:rsid w:val="00AC5991"/>
    <w:rsid w:val="00AF72F3"/>
    <w:rsid w:val="00B9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72FA"/>
  <w15:chartTrackingRefBased/>
  <w15:docId w15:val="{144ADC6E-7095-4EF4-821C-7F60C347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2C4"/>
    <w:pPr>
      <w:keepNext/>
      <w:keepLines/>
      <w:suppressAutoHyphens/>
      <w:autoSpaceDN w:val="0"/>
      <w:spacing w:before="240" w:after="0" w:line="251" w:lineRule="auto"/>
      <w:outlineLvl w:val="0"/>
    </w:pPr>
    <w:rPr>
      <w:rFonts w:ascii="Franklin Gothic Book" w:eastAsia="Times New Roman" w:hAnsi="Franklin Gothic Book" w:cs="Times New Roman"/>
      <w:b/>
      <w:color w:val="1F497D"/>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C4"/>
    <w:rPr>
      <w:rFonts w:ascii="Franklin Gothic Book" w:eastAsia="Times New Roman" w:hAnsi="Franklin Gothic Book" w:cs="Times New Roman"/>
      <w:b/>
      <w:color w:val="1F497D"/>
      <w:sz w:val="32"/>
      <w:szCs w:val="32"/>
      <w:lang w:val="en-US"/>
    </w:rPr>
  </w:style>
  <w:style w:type="paragraph" w:styleId="Title">
    <w:name w:val="Title"/>
    <w:basedOn w:val="NormalWeb"/>
    <w:next w:val="Normal"/>
    <w:link w:val="TitleChar"/>
    <w:uiPriority w:val="10"/>
    <w:qFormat/>
    <w:rsid w:val="003F52C4"/>
    <w:pPr>
      <w:suppressAutoHyphens/>
      <w:autoSpaceDN w:val="0"/>
      <w:spacing w:after="0" w:line="560" w:lineRule="exact"/>
    </w:pPr>
    <w:rPr>
      <w:rFonts w:ascii="Constantia" w:eastAsia="Times New Roman" w:hAnsi="Constantia"/>
      <w:b/>
      <w:bCs/>
      <w:color w:val="FFFFFF"/>
      <w:sz w:val="60"/>
      <w:szCs w:val="60"/>
      <w:lang w:val="en-US"/>
    </w:rPr>
  </w:style>
  <w:style w:type="character" w:customStyle="1" w:styleId="TitleChar">
    <w:name w:val="Title Char"/>
    <w:basedOn w:val="DefaultParagraphFont"/>
    <w:link w:val="Title"/>
    <w:uiPriority w:val="10"/>
    <w:rsid w:val="003F52C4"/>
    <w:rPr>
      <w:rFonts w:ascii="Constantia" w:eastAsia="Times New Roman" w:hAnsi="Constantia" w:cs="Times New Roman"/>
      <w:b/>
      <w:bCs/>
      <w:color w:val="FFFFFF"/>
      <w:sz w:val="60"/>
      <w:szCs w:val="60"/>
      <w:lang w:val="en-US"/>
    </w:rPr>
  </w:style>
  <w:style w:type="paragraph" w:styleId="NoSpacing">
    <w:name w:val="No Spacing"/>
    <w:rsid w:val="003F52C4"/>
    <w:pPr>
      <w:suppressAutoHyphens/>
      <w:autoSpaceDN w:val="0"/>
      <w:spacing w:after="0" w:line="240" w:lineRule="auto"/>
    </w:pPr>
    <w:rPr>
      <w:rFonts w:ascii="Franklin Gothic Book" w:eastAsia="Times New Roman" w:hAnsi="Franklin Gothic Book" w:cs="Times New Roman"/>
      <w:lang w:val="en-US"/>
    </w:rPr>
  </w:style>
  <w:style w:type="character" w:styleId="Hyperlink">
    <w:name w:val="Hyperlink"/>
    <w:basedOn w:val="DefaultParagraphFont"/>
    <w:rsid w:val="003F52C4"/>
    <w:rPr>
      <w:rFonts w:cs="Times New Roman"/>
      <w:color w:val="0096D2"/>
      <w:u w:val="single"/>
    </w:rPr>
  </w:style>
  <w:style w:type="paragraph" w:styleId="NormalWeb">
    <w:name w:val="Normal (Web)"/>
    <w:basedOn w:val="Normal"/>
    <w:uiPriority w:val="99"/>
    <w:semiHidden/>
    <w:unhideWhenUsed/>
    <w:rsid w:val="003F52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o-underwriting.com" TargetMode="External"/><Relationship Id="rId5" Type="http://schemas.openxmlformats.org/officeDocument/2006/relationships/hyperlink" Target="mailto:enquiries@aro-underwriting.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Hands</dc:creator>
  <cp:keywords/>
  <dc:description/>
  <cp:lastModifiedBy>Victoria Hands</cp:lastModifiedBy>
  <cp:revision>6</cp:revision>
  <dcterms:created xsi:type="dcterms:W3CDTF">2022-09-30T15:47:00Z</dcterms:created>
  <dcterms:modified xsi:type="dcterms:W3CDTF">2022-11-17T09:30:00Z</dcterms:modified>
</cp:coreProperties>
</file>